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6552E" w14:textId="77777777" w:rsidR="00140017" w:rsidRDefault="00140017" w:rsidP="00140017">
      <w:pPr>
        <w:spacing w:line="276" w:lineRule="auto"/>
        <w:rPr>
          <w:rFonts w:ascii="Lucida Sans" w:hAnsi="Lucida Sans"/>
          <w:color w:val="24A76B"/>
          <w:sz w:val="32"/>
          <w:szCs w:val="32"/>
        </w:rPr>
      </w:pPr>
    </w:p>
    <w:p w14:paraId="7EEE9DD3" w14:textId="2DE8CA22" w:rsidR="00140017" w:rsidRDefault="006852FE" w:rsidP="00140017">
      <w:pPr>
        <w:spacing w:line="276" w:lineRule="auto"/>
        <w:rPr>
          <w:rFonts w:ascii="Lucida Sans" w:hAnsi="Lucida Sans"/>
          <w:color w:val="24A76B"/>
          <w:sz w:val="32"/>
          <w:szCs w:val="32"/>
        </w:rPr>
      </w:pPr>
      <w:r>
        <w:rPr>
          <w:rFonts w:ascii="Lucida Sans" w:hAnsi="Lucida Sans"/>
          <w:color w:val="24A76B"/>
          <w:sz w:val="32"/>
          <w:szCs w:val="32"/>
        </w:rPr>
        <w:t xml:space="preserve">Materials Alignment Toolkit </w:t>
      </w:r>
      <w:r w:rsidR="00B34100">
        <w:rPr>
          <w:rFonts w:ascii="Lucida Sans" w:hAnsi="Lucida Sans"/>
          <w:color w:val="24A76B"/>
          <w:sz w:val="32"/>
          <w:szCs w:val="32"/>
        </w:rPr>
        <w:t>Updates</w:t>
      </w:r>
      <w:r>
        <w:rPr>
          <w:rFonts w:ascii="Lucida Sans" w:hAnsi="Lucida Sans"/>
          <w:color w:val="24A76B"/>
          <w:sz w:val="32"/>
          <w:szCs w:val="32"/>
        </w:rPr>
        <w:t>:</w:t>
      </w:r>
    </w:p>
    <w:p w14:paraId="1FEF345D" w14:textId="204BE6AC" w:rsidR="006852FE" w:rsidRDefault="006268B3" w:rsidP="00140017">
      <w:pPr>
        <w:spacing w:line="276" w:lineRule="auto"/>
        <w:rPr>
          <w:rFonts w:ascii="Lucida Sans" w:hAnsi="Lucida Sans"/>
          <w:color w:val="24A76B"/>
          <w:sz w:val="32"/>
          <w:szCs w:val="32"/>
        </w:rPr>
      </w:pPr>
      <w:r>
        <w:rPr>
          <w:rFonts w:ascii="Lucida Sans" w:hAnsi="Lucida Sans"/>
          <w:color w:val="24A76B"/>
          <w:sz w:val="32"/>
          <w:szCs w:val="32"/>
        </w:rPr>
        <w:t>Instructional Materials Evaluation Tool (IMET), Assessment Evaluation Tool (AET)</w:t>
      </w:r>
      <w:r w:rsidR="006852FE">
        <w:rPr>
          <w:rFonts w:ascii="Lucida Sans" w:hAnsi="Lucida Sans"/>
          <w:color w:val="24A76B"/>
          <w:sz w:val="32"/>
          <w:szCs w:val="32"/>
        </w:rPr>
        <w:t xml:space="preserve"> &amp; Quality Criteria Checklists</w:t>
      </w:r>
    </w:p>
    <w:p w14:paraId="0DDA682D" w14:textId="77777777" w:rsidR="00140017" w:rsidRDefault="00140017" w:rsidP="00140017">
      <w:pPr>
        <w:spacing w:line="276" w:lineRule="auto"/>
        <w:rPr>
          <w:rFonts w:ascii="Lucida Sans" w:hAnsi="Lucida Sans"/>
          <w:color w:val="595959" w:themeColor="text1" w:themeTint="A6"/>
          <w:szCs w:val="24"/>
        </w:rPr>
      </w:pPr>
    </w:p>
    <w:p w14:paraId="08045151" w14:textId="362B213D" w:rsidR="00C10EF8" w:rsidRPr="00F007E2" w:rsidRDefault="00C10EF8" w:rsidP="00C10EF8">
      <w:pPr>
        <w:spacing w:line="276" w:lineRule="auto"/>
        <w:rPr>
          <w:rFonts w:ascii="Lucida Sans" w:eastAsiaTheme="majorEastAsia" w:hAnsi="Lucida Sans" w:cstheme="majorBidi"/>
          <w:bCs/>
          <w:szCs w:val="24"/>
        </w:rPr>
      </w:pPr>
      <w:r w:rsidRPr="00F007E2">
        <w:rPr>
          <w:rFonts w:ascii="Lucida Sans" w:eastAsiaTheme="majorEastAsia" w:hAnsi="Lucida Sans" w:cstheme="majorBidi"/>
          <w:bCs/>
          <w:szCs w:val="24"/>
        </w:rPr>
        <w:t xml:space="preserve">Since the release of the IMET, AET and Quality Criteria Checklists in 2013, Student Achievement Partners has </w:t>
      </w:r>
      <w:r w:rsidR="00FF3DB4">
        <w:rPr>
          <w:rFonts w:ascii="Lucida Sans" w:eastAsiaTheme="majorEastAsia" w:hAnsi="Lucida Sans" w:cstheme="majorBidi"/>
          <w:bCs/>
          <w:szCs w:val="24"/>
        </w:rPr>
        <w:t>been gathering</w:t>
      </w:r>
      <w:r w:rsidR="00FF3DB4" w:rsidRPr="00F007E2">
        <w:rPr>
          <w:rFonts w:ascii="Lucida Sans" w:eastAsiaTheme="majorEastAsia" w:hAnsi="Lucida Sans" w:cstheme="majorBidi"/>
          <w:bCs/>
          <w:szCs w:val="24"/>
        </w:rPr>
        <w:t xml:space="preserve"> </w:t>
      </w:r>
      <w:r w:rsidRPr="00F007E2">
        <w:rPr>
          <w:rFonts w:ascii="Lucida Sans" w:eastAsiaTheme="majorEastAsia" w:hAnsi="Lucida Sans" w:cstheme="majorBidi"/>
          <w:bCs/>
          <w:szCs w:val="24"/>
        </w:rPr>
        <w:t xml:space="preserve">feedback from the field </w:t>
      </w:r>
      <w:r w:rsidR="00FF3DB4">
        <w:rPr>
          <w:rFonts w:ascii="Lucida Sans" w:eastAsiaTheme="majorEastAsia" w:hAnsi="Lucida Sans" w:cstheme="majorBidi"/>
          <w:bCs/>
          <w:szCs w:val="24"/>
        </w:rPr>
        <w:t>about the experience of using these tools.</w:t>
      </w:r>
      <w:r w:rsidRPr="00F007E2">
        <w:rPr>
          <w:rFonts w:ascii="Lucida Sans" w:eastAsiaTheme="majorEastAsia" w:hAnsi="Lucida Sans" w:cstheme="majorBidi"/>
          <w:bCs/>
          <w:szCs w:val="24"/>
        </w:rPr>
        <w:t xml:space="preserve"> </w:t>
      </w:r>
    </w:p>
    <w:p w14:paraId="356F23E7" w14:textId="77777777" w:rsidR="00F007E2" w:rsidRDefault="00F007E2" w:rsidP="00140017">
      <w:pPr>
        <w:spacing w:line="276" w:lineRule="auto"/>
        <w:rPr>
          <w:rFonts w:ascii="Lucida Sans" w:hAnsi="Lucida Sans"/>
          <w:szCs w:val="24"/>
        </w:rPr>
      </w:pPr>
    </w:p>
    <w:p w14:paraId="54F48046" w14:textId="360342EC" w:rsidR="000F4FE6" w:rsidRDefault="000E6C0C" w:rsidP="000F4FE6">
      <w:pPr>
        <w:spacing w:line="276" w:lineRule="auto"/>
        <w:rPr>
          <w:rFonts w:ascii="Lucida Sans" w:hAnsi="Lucida Sans"/>
          <w:szCs w:val="24"/>
        </w:rPr>
      </w:pPr>
      <w:r>
        <w:rPr>
          <w:rFonts w:ascii="Lucida Sans" w:hAnsi="Lucida Sans"/>
          <w:szCs w:val="24"/>
        </w:rPr>
        <w:t xml:space="preserve">This document outlines </w:t>
      </w:r>
      <w:r w:rsidR="00B34100">
        <w:rPr>
          <w:rFonts w:ascii="Lucida Sans" w:hAnsi="Lucida Sans"/>
          <w:szCs w:val="24"/>
        </w:rPr>
        <w:t xml:space="preserve">updates made </w:t>
      </w:r>
      <w:r w:rsidR="00FF3DB4">
        <w:rPr>
          <w:rFonts w:ascii="Lucida Sans" w:hAnsi="Lucida Sans"/>
          <w:szCs w:val="24"/>
        </w:rPr>
        <w:t>to</w:t>
      </w:r>
      <w:r w:rsidR="00B34100">
        <w:rPr>
          <w:rFonts w:ascii="Lucida Sans" w:hAnsi="Lucida Sans"/>
          <w:szCs w:val="24"/>
        </w:rPr>
        <w:t xml:space="preserve"> each of these tools</w:t>
      </w:r>
      <w:r w:rsidR="00FF3DB4">
        <w:rPr>
          <w:rFonts w:ascii="Lucida Sans" w:hAnsi="Lucida Sans"/>
          <w:szCs w:val="24"/>
        </w:rPr>
        <w:t xml:space="preserve"> in response to that feedback</w:t>
      </w:r>
      <w:r w:rsidR="00B34100">
        <w:rPr>
          <w:rFonts w:ascii="Lucida Sans" w:hAnsi="Lucida Sans"/>
          <w:szCs w:val="24"/>
        </w:rPr>
        <w:t>.</w:t>
      </w:r>
      <w:bookmarkStart w:id="0" w:name="_Ref267053731"/>
      <w:r w:rsidR="000F4FE6">
        <w:rPr>
          <w:rFonts w:ascii="Lucida Sans" w:hAnsi="Lucida Sans"/>
          <w:szCs w:val="24"/>
        </w:rPr>
        <w:t xml:space="preserve"> Go to the next page or use these quick-links to jump to a specific section</w:t>
      </w:r>
      <w:r w:rsidR="00FF3DB4">
        <w:rPr>
          <w:rFonts w:ascii="Lucida Sans" w:hAnsi="Lucida Sans"/>
          <w:szCs w:val="24"/>
        </w:rPr>
        <w:t xml:space="preserve"> of this document</w:t>
      </w:r>
      <w:r w:rsidR="000F4FE6">
        <w:rPr>
          <w:rFonts w:ascii="Lucida Sans" w:hAnsi="Lucida Sans"/>
          <w:szCs w:val="24"/>
        </w:rPr>
        <w:t>.</w:t>
      </w:r>
    </w:p>
    <w:p w14:paraId="3637F0A9" w14:textId="5269EEB4" w:rsidR="000F4FE6" w:rsidRPr="000F4FE6" w:rsidRDefault="000F4FE6">
      <w:pPr>
        <w:rPr>
          <w:rFonts w:ascii="Lucida Sans" w:hAnsi="Lucida Sans"/>
          <w:szCs w:val="24"/>
        </w:rPr>
      </w:pPr>
    </w:p>
    <w:bookmarkStart w:id="1" w:name="_Ref267573629"/>
    <w:p w14:paraId="35EEBCFD" w14:textId="156606F0" w:rsidR="000F4FE6" w:rsidRPr="000F4FE6" w:rsidRDefault="000F4FE6" w:rsidP="000F4FE6">
      <w:pPr>
        <w:pStyle w:val="ListParagraph"/>
        <w:numPr>
          <w:ilvl w:val="0"/>
          <w:numId w:val="27"/>
        </w:numPr>
        <w:rPr>
          <w:rFonts w:ascii="Lucida Sans" w:hAnsi="Lucida Sans"/>
          <w:b/>
        </w:rPr>
      </w:pPr>
      <w:r w:rsidRPr="000F4FE6">
        <w:rPr>
          <w:rFonts w:ascii="Lucida Sans" w:hAnsi="Lucida Sans"/>
          <w:b/>
        </w:rPr>
        <w:fldChar w:fldCharType="begin"/>
      </w:r>
      <w:r w:rsidRPr="000F4FE6">
        <w:rPr>
          <w:rFonts w:ascii="Lucida Sans" w:hAnsi="Lucida Sans"/>
          <w:b/>
        </w:rPr>
        <w:instrText xml:space="preserve"> REF _Ref267573909 \h </w:instrText>
      </w:r>
      <w:r w:rsidRPr="000F4FE6">
        <w:rPr>
          <w:rFonts w:ascii="Lucida Sans" w:hAnsi="Lucida Sans"/>
          <w:b/>
        </w:rPr>
      </w:r>
      <w:r w:rsidRPr="000F4FE6">
        <w:rPr>
          <w:rFonts w:ascii="Lucida Sans" w:hAnsi="Lucida Sans"/>
          <w:b/>
        </w:rPr>
        <w:fldChar w:fldCharType="separate"/>
      </w:r>
      <w:r w:rsidRPr="000F4FE6">
        <w:rPr>
          <w:rFonts w:ascii="Lucida Sans" w:eastAsiaTheme="majorEastAsia" w:hAnsi="Lucida Sans"/>
          <w:b/>
          <w:bCs/>
          <w:color w:val="404040" w:themeColor="text1" w:themeTint="BF"/>
          <w:sz w:val="24"/>
        </w:rPr>
        <w:t>Overall</w:t>
      </w:r>
      <w:r w:rsidRPr="000F4FE6">
        <w:rPr>
          <w:rFonts w:ascii="Lucida Sans" w:hAnsi="Lucida Sans"/>
          <w:b/>
        </w:rPr>
        <w:fldChar w:fldCharType="end"/>
      </w:r>
    </w:p>
    <w:p w14:paraId="6871AE61" w14:textId="5977B4DF" w:rsidR="000F4FE6" w:rsidRPr="000F4FE6" w:rsidRDefault="000F4FE6" w:rsidP="000F4FE6">
      <w:pPr>
        <w:pStyle w:val="ListParagraph"/>
        <w:numPr>
          <w:ilvl w:val="0"/>
          <w:numId w:val="27"/>
        </w:numPr>
        <w:rPr>
          <w:rFonts w:ascii="Lucida Sans" w:hAnsi="Lucida Sans"/>
          <w:b/>
        </w:rPr>
      </w:pPr>
      <w:r w:rsidRPr="000F4FE6">
        <w:rPr>
          <w:rFonts w:ascii="Lucida Sans" w:hAnsi="Lucida Sans"/>
          <w:b/>
        </w:rPr>
        <w:fldChar w:fldCharType="begin"/>
      </w:r>
      <w:r w:rsidRPr="000F4FE6">
        <w:rPr>
          <w:rFonts w:ascii="Lucida Sans" w:hAnsi="Lucida Sans"/>
          <w:b/>
          <w:color w:val="404040" w:themeColor="text1" w:themeTint="BF"/>
          <w:sz w:val="24"/>
        </w:rPr>
        <w:instrText xml:space="preserve"> REF _Ref267573818 \h </w:instrText>
      </w:r>
      <w:r w:rsidRPr="000F4FE6">
        <w:rPr>
          <w:rFonts w:ascii="Lucida Sans" w:hAnsi="Lucida Sans"/>
          <w:b/>
        </w:rPr>
      </w:r>
      <w:r w:rsidRPr="000F4FE6">
        <w:rPr>
          <w:rFonts w:ascii="Lucida Sans" w:hAnsi="Lucida Sans"/>
          <w:b/>
        </w:rPr>
        <w:fldChar w:fldCharType="separate"/>
      </w:r>
      <w:r w:rsidRPr="000F4FE6">
        <w:rPr>
          <w:rFonts w:ascii="Lucida Sans" w:hAnsi="Lucida Sans"/>
          <w:b/>
          <w:color w:val="404040" w:themeColor="text1" w:themeTint="BF"/>
          <w:sz w:val="24"/>
        </w:rPr>
        <w:t>Instructional Materials Evaluation Tool (IMET)</w:t>
      </w:r>
      <w:r w:rsidRPr="000F4FE6">
        <w:rPr>
          <w:rFonts w:ascii="Lucida Sans" w:hAnsi="Lucida Sans"/>
          <w:b/>
        </w:rPr>
        <w:fldChar w:fldCharType="end"/>
      </w:r>
    </w:p>
    <w:p w14:paraId="5AE22F31" w14:textId="3CB2E457" w:rsidR="000F4FE6" w:rsidRPr="000F4FE6" w:rsidRDefault="000F4FE6" w:rsidP="000F4FE6">
      <w:pPr>
        <w:pStyle w:val="ListParagraph"/>
        <w:numPr>
          <w:ilvl w:val="0"/>
          <w:numId w:val="27"/>
        </w:numPr>
        <w:rPr>
          <w:rFonts w:ascii="Lucida Sans" w:hAnsi="Lucida Sans"/>
          <w:b/>
        </w:rPr>
      </w:pPr>
      <w:r w:rsidRPr="000F4FE6">
        <w:rPr>
          <w:rFonts w:ascii="Lucida Sans" w:hAnsi="Lucida Sans"/>
          <w:b/>
        </w:rPr>
        <w:fldChar w:fldCharType="begin"/>
      </w:r>
      <w:r w:rsidRPr="000F4FE6">
        <w:rPr>
          <w:rFonts w:ascii="Lucida Sans" w:hAnsi="Lucida Sans"/>
          <w:b/>
        </w:rPr>
        <w:instrText xml:space="preserve"> REF _Ref267573820 \h </w:instrText>
      </w:r>
      <w:r w:rsidRPr="000F4FE6">
        <w:rPr>
          <w:rFonts w:ascii="Lucida Sans" w:hAnsi="Lucida Sans"/>
          <w:b/>
        </w:rPr>
      </w:r>
      <w:r w:rsidRPr="000F4FE6">
        <w:rPr>
          <w:rFonts w:ascii="Lucida Sans" w:hAnsi="Lucida Sans"/>
          <w:b/>
        </w:rPr>
        <w:fldChar w:fldCharType="separate"/>
      </w:r>
      <w:r w:rsidRPr="000F4FE6">
        <w:rPr>
          <w:rFonts w:ascii="Lucida Sans" w:hAnsi="Lucida Sans"/>
          <w:b/>
          <w:bCs/>
          <w:color w:val="404040" w:themeColor="text1" w:themeTint="BF"/>
          <w:sz w:val="24"/>
        </w:rPr>
        <w:t>A</w:t>
      </w:r>
      <w:r w:rsidRPr="000F4FE6">
        <w:rPr>
          <w:rFonts w:ascii="Lucida Sans" w:hAnsi="Lucida Sans"/>
          <w:b/>
          <w:color w:val="404040" w:themeColor="text1" w:themeTint="BF"/>
          <w:sz w:val="24"/>
        </w:rPr>
        <w:t>ssessment Evaluation Tool (AET)</w:t>
      </w:r>
      <w:r w:rsidRPr="000F4FE6">
        <w:rPr>
          <w:rFonts w:ascii="Lucida Sans" w:hAnsi="Lucida Sans"/>
          <w:b/>
        </w:rPr>
        <w:fldChar w:fldCharType="end"/>
      </w:r>
      <w:r w:rsidRPr="000F4FE6">
        <w:rPr>
          <w:rFonts w:ascii="Lucida Sans" w:hAnsi="Lucida Sans"/>
          <w:color w:val="404040" w:themeColor="text1" w:themeTint="BF"/>
          <w:sz w:val="24"/>
        </w:rPr>
        <w:br w:type="page"/>
      </w:r>
    </w:p>
    <w:p w14:paraId="4DDD2C80" w14:textId="1860F6A1" w:rsidR="00847133" w:rsidRPr="000F4FE6" w:rsidRDefault="00F5098E" w:rsidP="000F4FE6">
      <w:pPr>
        <w:pStyle w:val="Heading1"/>
        <w:rPr>
          <w:rFonts w:ascii="Lucida Sans" w:eastAsia="Times New Roman" w:hAnsi="Lucida Sans" w:cs="Times New Roman"/>
          <w:color w:val="404040" w:themeColor="text1" w:themeTint="BF"/>
          <w:sz w:val="24"/>
          <w:szCs w:val="24"/>
        </w:rPr>
      </w:pPr>
      <w:bookmarkStart w:id="2" w:name="_Ref267573909"/>
      <w:r w:rsidRPr="000F4FE6">
        <w:rPr>
          <w:rFonts w:ascii="Lucida Sans" w:hAnsi="Lucida Sans"/>
          <w:color w:val="404040" w:themeColor="text1" w:themeTint="BF"/>
          <w:sz w:val="24"/>
          <w:szCs w:val="24"/>
        </w:rPr>
        <w:lastRenderedPageBreak/>
        <w:t>Overall</w:t>
      </w:r>
      <w:bookmarkEnd w:id="1"/>
      <w:bookmarkEnd w:id="2"/>
    </w:p>
    <w:p w14:paraId="2CA5F579" w14:textId="77777777" w:rsidR="00F5098E" w:rsidRPr="00F007E2" w:rsidRDefault="00F5098E" w:rsidP="00847133">
      <w:pPr>
        <w:rPr>
          <w:rFonts w:ascii="Lucida Sans" w:eastAsiaTheme="majorEastAsia" w:hAnsi="Lucida Sans" w:cstheme="majorBidi"/>
          <w:b/>
          <w:bCs/>
          <w:szCs w:val="24"/>
        </w:rPr>
      </w:pPr>
    </w:p>
    <w:p w14:paraId="293670A1" w14:textId="5D1C5A6A" w:rsidR="00847133" w:rsidRPr="001E12AA" w:rsidRDefault="00586A3C" w:rsidP="00847133">
      <w:pPr>
        <w:pStyle w:val="ListParagraph"/>
        <w:numPr>
          <w:ilvl w:val="0"/>
          <w:numId w:val="15"/>
        </w:numPr>
        <w:ind w:left="360" w:hanging="270"/>
        <w:rPr>
          <w:rFonts w:ascii="Lucida Sans" w:eastAsiaTheme="majorEastAsia" w:hAnsi="Lucida Sans" w:cstheme="majorBidi"/>
          <w:b/>
          <w:bCs/>
          <w:szCs w:val="20"/>
        </w:rPr>
      </w:pPr>
      <w:r>
        <w:rPr>
          <w:rFonts w:ascii="Lucida Sans" w:hAnsi="Lucida Sans"/>
          <w:szCs w:val="20"/>
        </w:rPr>
        <w:t>Created</w:t>
      </w:r>
      <w:r>
        <w:rPr>
          <w:rStyle w:val="CommentReference"/>
          <w:rFonts w:ascii="Times New Roman" w:eastAsia="Times New Roman" w:hAnsi="Times New Roman"/>
        </w:rPr>
        <w:t/>
      </w:r>
      <w:r>
        <w:rPr>
          <w:rFonts w:ascii="Lucida Sans" w:hAnsi="Lucida Sans"/>
          <w:szCs w:val="20"/>
        </w:rPr>
        <w:t xml:space="preserve"> a more c</w:t>
      </w:r>
      <w:r w:rsidRPr="001E12AA">
        <w:rPr>
          <w:rFonts w:ascii="Lucida Sans" w:hAnsi="Lucida Sans"/>
          <w:szCs w:val="20"/>
        </w:rPr>
        <w:t xml:space="preserve">onsistent, user-friendly design </w:t>
      </w:r>
      <w:r>
        <w:rPr>
          <w:rFonts w:ascii="Lucida Sans" w:hAnsi="Lucida Sans"/>
          <w:szCs w:val="20"/>
        </w:rPr>
        <w:t xml:space="preserve">with clear navigation </w:t>
      </w:r>
      <w:r w:rsidRPr="001E12AA">
        <w:rPr>
          <w:rFonts w:ascii="Lucida Sans" w:hAnsi="Lucida Sans"/>
          <w:szCs w:val="20"/>
        </w:rPr>
        <w:t xml:space="preserve">across </w:t>
      </w:r>
      <w:r>
        <w:rPr>
          <w:rFonts w:ascii="Lucida Sans" w:hAnsi="Lucida Sans"/>
          <w:szCs w:val="20"/>
        </w:rPr>
        <w:t xml:space="preserve">the </w:t>
      </w:r>
      <w:r w:rsidRPr="001E12AA">
        <w:rPr>
          <w:rFonts w:ascii="Lucida Sans" w:hAnsi="Lucida Sans"/>
          <w:szCs w:val="20"/>
        </w:rPr>
        <w:t>IMET, AET and Quality Criteria Checklists</w:t>
      </w:r>
    </w:p>
    <w:p w14:paraId="74BCFAEF" w14:textId="50C7A078" w:rsidR="00847133" w:rsidRPr="001E12AA" w:rsidRDefault="0044223C" w:rsidP="00847133">
      <w:pPr>
        <w:pStyle w:val="ListParagraph"/>
        <w:numPr>
          <w:ilvl w:val="0"/>
          <w:numId w:val="15"/>
        </w:numPr>
        <w:ind w:left="360" w:hanging="270"/>
        <w:rPr>
          <w:rFonts w:ascii="Lucida Sans" w:eastAsiaTheme="majorEastAsia" w:hAnsi="Lucida Sans" w:cstheme="majorBidi"/>
          <w:b/>
          <w:bCs/>
          <w:szCs w:val="20"/>
        </w:rPr>
      </w:pPr>
      <w:r>
        <w:rPr>
          <w:rFonts w:ascii="Lucida Sans" w:hAnsi="Lucida Sans"/>
          <w:szCs w:val="20"/>
        </w:rPr>
        <w:t xml:space="preserve">Added a </w:t>
      </w:r>
      <w:r w:rsidR="00847133" w:rsidRPr="001E12AA">
        <w:rPr>
          <w:rFonts w:ascii="Lucida Sans" w:hAnsi="Lucida Sans"/>
          <w:szCs w:val="20"/>
        </w:rPr>
        <w:t xml:space="preserve">“Procedure for Evaluating the Metric” column in the AET and </w:t>
      </w:r>
      <w:r>
        <w:rPr>
          <w:rFonts w:ascii="Lucida Sans" w:hAnsi="Lucida Sans"/>
          <w:szCs w:val="20"/>
        </w:rPr>
        <w:t xml:space="preserve">a </w:t>
      </w:r>
      <w:r w:rsidR="00847133" w:rsidRPr="001E12AA">
        <w:rPr>
          <w:rFonts w:ascii="Lucida Sans" w:hAnsi="Lucida Sans"/>
          <w:szCs w:val="20"/>
        </w:rPr>
        <w:t xml:space="preserve">“How to Find the Evidence” column in the IMET </w:t>
      </w:r>
      <w:r>
        <w:rPr>
          <w:rFonts w:ascii="Lucida Sans" w:hAnsi="Lucida Sans"/>
          <w:szCs w:val="20"/>
        </w:rPr>
        <w:t xml:space="preserve">to </w:t>
      </w:r>
      <w:r w:rsidR="00847133" w:rsidRPr="001E12AA">
        <w:rPr>
          <w:rFonts w:ascii="Lucida Sans" w:hAnsi="Lucida Sans"/>
          <w:szCs w:val="20"/>
        </w:rPr>
        <w:t xml:space="preserve">provide </w:t>
      </w:r>
      <w:r>
        <w:rPr>
          <w:rFonts w:ascii="Lucida Sans" w:hAnsi="Lucida Sans"/>
          <w:szCs w:val="20"/>
        </w:rPr>
        <w:t xml:space="preserve">specific </w:t>
      </w:r>
      <w:r w:rsidR="00847133" w:rsidRPr="001E12AA">
        <w:rPr>
          <w:rFonts w:ascii="Lucida Sans" w:hAnsi="Lucida Sans"/>
          <w:szCs w:val="20"/>
        </w:rPr>
        <w:t>guidance for how to find evidence that a metric has been met</w:t>
      </w:r>
    </w:p>
    <w:p w14:paraId="6D16CB53" w14:textId="3835A4B4" w:rsidR="00F5098E" w:rsidRPr="001E12AA" w:rsidRDefault="00847133" w:rsidP="00F5098E">
      <w:pPr>
        <w:pStyle w:val="ListParagraph"/>
        <w:numPr>
          <w:ilvl w:val="0"/>
          <w:numId w:val="15"/>
        </w:numPr>
        <w:ind w:left="360" w:hanging="270"/>
        <w:rPr>
          <w:rFonts w:ascii="Lucida Sans" w:eastAsiaTheme="majorEastAsia" w:hAnsi="Lucida Sans" w:cstheme="majorBidi"/>
          <w:b/>
          <w:bCs/>
          <w:szCs w:val="20"/>
        </w:rPr>
      </w:pPr>
      <w:r w:rsidRPr="001E12AA">
        <w:rPr>
          <w:rFonts w:ascii="Lucida Sans" w:hAnsi="Lucida Sans"/>
          <w:szCs w:val="20"/>
        </w:rPr>
        <w:t>Simpl</w:t>
      </w:r>
      <w:r w:rsidR="0044223C">
        <w:rPr>
          <w:rFonts w:ascii="Lucida Sans" w:hAnsi="Lucida Sans"/>
          <w:szCs w:val="20"/>
        </w:rPr>
        <w:t>ified</w:t>
      </w:r>
      <w:r w:rsidRPr="001E12AA">
        <w:rPr>
          <w:rFonts w:ascii="Lucida Sans" w:hAnsi="Lucida Sans"/>
          <w:szCs w:val="20"/>
        </w:rPr>
        <w:t xml:space="preserve"> scoring guidelines and a cl</w:t>
      </w:r>
      <w:r w:rsidR="0044223C">
        <w:rPr>
          <w:rFonts w:ascii="Lucida Sans" w:hAnsi="Lucida Sans"/>
          <w:szCs w:val="20"/>
        </w:rPr>
        <w:t>arified the</w:t>
      </w:r>
      <w:r w:rsidRPr="001E12AA">
        <w:rPr>
          <w:rFonts w:ascii="Lucida Sans" w:hAnsi="Lucida Sans"/>
          <w:szCs w:val="20"/>
        </w:rPr>
        <w:t xml:space="preserve"> threshold for alignment</w:t>
      </w:r>
    </w:p>
    <w:p w14:paraId="387A3824" w14:textId="5F3957F6" w:rsidR="00F5098E" w:rsidRPr="001E12AA" w:rsidRDefault="0044223C" w:rsidP="00B66841">
      <w:pPr>
        <w:pStyle w:val="ListParagraph"/>
        <w:numPr>
          <w:ilvl w:val="0"/>
          <w:numId w:val="15"/>
        </w:numPr>
        <w:ind w:left="360" w:hanging="270"/>
        <w:rPr>
          <w:rFonts w:ascii="Lucida Sans" w:eastAsiaTheme="majorEastAsia" w:hAnsi="Lucida Sans" w:cstheme="majorBidi"/>
          <w:b/>
          <w:bCs/>
          <w:szCs w:val="20"/>
        </w:rPr>
      </w:pPr>
      <w:r>
        <w:rPr>
          <w:rFonts w:ascii="Lucida Sans" w:hAnsi="Lucida Sans"/>
          <w:szCs w:val="20"/>
        </w:rPr>
        <w:t xml:space="preserve">Separated </w:t>
      </w:r>
      <w:r w:rsidR="00132A9D" w:rsidRPr="001E12AA">
        <w:rPr>
          <w:rFonts w:ascii="Lucida Sans" w:hAnsi="Lucida Sans"/>
          <w:szCs w:val="20"/>
        </w:rPr>
        <w:t xml:space="preserve">Indicators of Quality </w:t>
      </w:r>
      <w:r>
        <w:rPr>
          <w:rFonts w:ascii="Lucida Sans" w:hAnsi="Lucida Sans"/>
          <w:szCs w:val="20"/>
        </w:rPr>
        <w:t>from</w:t>
      </w:r>
      <w:r w:rsidR="00132A9D" w:rsidRPr="001E12AA">
        <w:rPr>
          <w:rFonts w:ascii="Lucida Sans" w:hAnsi="Lucida Sans"/>
          <w:szCs w:val="20"/>
        </w:rPr>
        <w:t xml:space="preserve"> the evaluation portion of the IMET</w:t>
      </w:r>
      <w:r w:rsidR="00F5098E" w:rsidRPr="001E12AA">
        <w:rPr>
          <w:rFonts w:ascii="Lucida Sans" w:hAnsi="Lucida Sans"/>
          <w:szCs w:val="20"/>
        </w:rPr>
        <w:t xml:space="preserve"> or AET</w:t>
      </w:r>
      <w:r>
        <w:rPr>
          <w:rFonts w:ascii="Lucida Sans" w:hAnsi="Lucida Sans"/>
          <w:szCs w:val="20"/>
        </w:rPr>
        <w:t xml:space="preserve"> and clarified that they represent a sampling rather than a complete list</w:t>
      </w:r>
    </w:p>
    <w:p w14:paraId="1CAF91B7" w14:textId="3195442E" w:rsidR="00132A9D" w:rsidRPr="000F4FE6" w:rsidRDefault="00132A9D" w:rsidP="00B66841">
      <w:pPr>
        <w:pStyle w:val="ListParagraph"/>
        <w:numPr>
          <w:ilvl w:val="0"/>
          <w:numId w:val="15"/>
        </w:numPr>
        <w:ind w:left="360" w:hanging="270"/>
        <w:rPr>
          <w:rFonts w:ascii="Lucida Sans" w:eastAsiaTheme="majorEastAsia" w:hAnsi="Lucida Sans" w:cstheme="majorBidi"/>
          <w:b/>
          <w:bCs/>
          <w:szCs w:val="20"/>
        </w:rPr>
      </w:pPr>
      <w:r w:rsidRPr="001E12AA">
        <w:rPr>
          <w:rFonts w:ascii="Lucida Sans" w:eastAsiaTheme="majorEastAsia" w:hAnsi="Lucida Sans" w:cstheme="majorBidi"/>
          <w:bCs/>
          <w:szCs w:val="20"/>
        </w:rPr>
        <w:t xml:space="preserve">Streamlined </w:t>
      </w:r>
      <w:r w:rsidR="0044223C">
        <w:rPr>
          <w:rFonts w:ascii="Lucida Sans" w:eastAsiaTheme="majorEastAsia" w:hAnsi="Lucida Sans" w:cstheme="majorBidi"/>
          <w:bCs/>
          <w:szCs w:val="20"/>
        </w:rPr>
        <w:t xml:space="preserve">the criteria </w:t>
      </w:r>
      <w:r w:rsidRPr="001E12AA">
        <w:rPr>
          <w:rFonts w:ascii="Lucida Sans" w:eastAsiaTheme="majorEastAsia" w:hAnsi="Lucida Sans" w:cstheme="majorBidi"/>
          <w:bCs/>
          <w:szCs w:val="20"/>
        </w:rPr>
        <w:t xml:space="preserve">language and content </w:t>
      </w:r>
      <w:r w:rsidR="00586A3C">
        <w:rPr>
          <w:rFonts w:ascii="Lucida Sans" w:eastAsiaTheme="majorEastAsia" w:hAnsi="Lucida Sans" w:cstheme="majorBidi"/>
          <w:bCs/>
          <w:szCs w:val="20"/>
        </w:rPr>
        <w:t>to show a clearer relationship across the tools</w:t>
      </w:r>
    </w:p>
    <w:p w14:paraId="0C5A6AA1" w14:textId="5A6CD4DA" w:rsidR="007562E6" w:rsidRPr="000F4FE6" w:rsidRDefault="000F4FE6" w:rsidP="000F4FE6">
      <w:pPr>
        <w:pStyle w:val="Heading1"/>
        <w:rPr>
          <w:rFonts w:ascii="Lucida Sans" w:hAnsi="Lucida Sans"/>
          <w:color w:val="404040" w:themeColor="text1" w:themeTint="BF"/>
          <w:sz w:val="24"/>
          <w:szCs w:val="24"/>
        </w:rPr>
      </w:pPr>
      <w:bookmarkStart w:id="3" w:name="_Ref267573648"/>
      <w:bookmarkStart w:id="4" w:name="_Ref267573818"/>
      <w:r>
        <w:rPr>
          <w:rFonts w:ascii="Lucida Sans" w:hAnsi="Lucida Sans"/>
          <w:color w:val="404040" w:themeColor="text1" w:themeTint="BF"/>
          <w:sz w:val="24"/>
          <w:szCs w:val="24"/>
        </w:rPr>
        <w:t>I</w:t>
      </w:r>
      <w:bookmarkEnd w:id="3"/>
      <w:r>
        <w:rPr>
          <w:rFonts w:ascii="Lucida Sans" w:hAnsi="Lucida Sans"/>
          <w:color w:val="404040" w:themeColor="text1" w:themeTint="BF"/>
          <w:sz w:val="24"/>
          <w:szCs w:val="24"/>
        </w:rPr>
        <w:t>nstructional Materials Evaluation Tool (IMET)</w:t>
      </w:r>
      <w:bookmarkEnd w:id="4"/>
    </w:p>
    <w:p w14:paraId="7754BFB6" w14:textId="77777777" w:rsidR="007562E6" w:rsidRDefault="007562E6" w:rsidP="007562E6">
      <w:pPr>
        <w:rPr>
          <w:rFonts w:ascii="Lucida Sans" w:eastAsiaTheme="majorEastAsia" w:hAnsi="Lucida Sans" w:cstheme="majorBidi"/>
          <w:b/>
          <w:bCs/>
          <w:szCs w:val="24"/>
        </w:rPr>
      </w:pPr>
    </w:p>
    <w:p w14:paraId="36379403" w14:textId="77777777" w:rsidR="00132A9D" w:rsidRPr="00F007E2" w:rsidRDefault="00132A9D" w:rsidP="00B66841">
      <w:pPr>
        <w:rPr>
          <w:rFonts w:ascii="Lucida Sans" w:eastAsiaTheme="majorEastAsia" w:hAnsi="Lucida Sans" w:cstheme="majorBidi"/>
          <w:b/>
          <w:bCs/>
          <w:szCs w:val="24"/>
        </w:rPr>
      </w:pPr>
    </w:p>
    <w:p w14:paraId="69EAD748" w14:textId="13F165D5" w:rsidR="00B66841" w:rsidRPr="000F4FE6" w:rsidRDefault="004B3512" w:rsidP="00B66841">
      <w:pPr>
        <w:rPr>
          <w:rFonts w:ascii="Lucida Sans" w:hAnsi="Lucida Sans"/>
          <w:sz w:val="22"/>
          <w:szCs w:val="22"/>
          <w:u w:val="single"/>
        </w:rPr>
      </w:pPr>
      <w:r w:rsidRPr="000F4FE6">
        <w:rPr>
          <w:rFonts w:ascii="Lucida Sans" w:hAnsi="Lucida Sans"/>
          <w:sz w:val="22"/>
          <w:szCs w:val="22"/>
          <w:u w:val="single"/>
        </w:rPr>
        <w:t xml:space="preserve">Detail on Changes to </w:t>
      </w:r>
      <w:r w:rsidR="00B66841" w:rsidRPr="000F4FE6">
        <w:rPr>
          <w:rFonts w:ascii="Lucida Sans" w:hAnsi="Lucida Sans"/>
          <w:sz w:val="22"/>
          <w:szCs w:val="22"/>
          <w:u w:val="single"/>
        </w:rPr>
        <w:t>ELA/Literacy</w:t>
      </w:r>
    </w:p>
    <w:p w14:paraId="7151C55D" w14:textId="77777777" w:rsidR="00B66841" w:rsidRPr="001E12AA" w:rsidRDefault="00B66841" w:rsidP="00B66841">
      <w:pPr>
        <w:rPr>
          <w:rFonts w:ascii="Lucida Sans" w:hAnsi="Lucida Sans"/>
          <w:sz w:val="20"/>
        </w:rPr>
      </w:pPr>
    </w:p>
    <w:p w14:paraId="690D6350" w14:textId="77777777" w:rsidR="00B66841" w:rsidRPr="001E12AA" w:rsidRDefault="00B66841" w:rsidP="00B66841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0E03DE">
        <w:rPr>
          <w:rFonts w:ascii="Lucida Sans" w:hAnsi="Lucida Sans"/>
          <w:b/>
          <w:szCs w:val="20"/>
        </w:rPr>
        <w:t>New K – 2 IMET for ELA/Literacy</w:t>
      </w:r>
      <w:r w:rsidRPr="001E12AA">
        <w:rPr>
          <w:rFonts w:ascii="Lucida Sans" w:hAnsi="Lucida Sans"/>
          <w:szCs w:val="20"/>
        </w:rPr>
        <w:t xml:space="preserve"> has been added to the toolkit</w:t>
      </w:r>
    </w:p>
    <w:p w14:paraId="41A7EEDF" w14:textId="56F6F937" w:rsidR="00B66841" w:rsidRPr="004B2473" w:rsidRDefault="004B2473" w:rsidP="00B66841">
      <w:pPr>
        <w:pStyle w:val="ListParagraph"/>
        <w:numPr>
          <w:ilvl w:val="1"/>
          <w:numId w:val="18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4B2473">
        <w:rPr>
          <w:rFonts w:ascii="Lucida Sans" w:hAnsi="Lucida Sans"/>
          <w:szCs w:val="20"/>
        </w:rPr>
        <w:t xml:space="preserve">Distinguishes materials for reading instruction </w:t>
      </w:r>
      <w:bookmarkStart w:id="5" w:name="_GoBack"/>
      <w:bookmarkEnd w:id="5"/>
      <w:r w:rsidRPr="004B2473">
        <w:rPr>
          <w:rFonts w:ascii="Lucida Sans" w:hAnsi="Lucida Sans"/>
          <w:szCs w:val="20"/>
        </w:rPr>
        <w:t>and considerations for text complexity as separate criteria for evaluation.</w:t>
      </w:r>
    </w:p>
    <w:p w14:paraId="6283AFAF" w14:textId="1FEB1284" w:rsidR="00B66841" w:rsidRPr="001E12AA" w:rsidRDefault="0044223C" w:rsidP="00B66841">
      <w:pPr>
        <w:pStyle w:val="ListParagraph"/>
        <w:numPr>
          <w:ilvl w:val="1"/>
          <w:numId w:val="18"/>
        </w:numPr>
        <w:spacing w:after="200" w:line="276" w:lineRule="auto"/>
        <w:contextualSpacing/>
        <w:rPr>
          <w:rFonts w:ascii="Lucida Sans" w:hAnsi="Lucida Sans"/>
          <w:szCs w:val="20"/>
        </w:rPr>
      </w:pPr>
      <w:r>
        <w:rPr>
          <w:rFonts w:ascii="Lucida Sans" w:hAnsi="Lucida Sans"/>
          <w:szCs w:val="20"/>
        </w:rPr>
        <w:t>Includes g</w:t>
      </w:r>
      <w:r w:rsidR="00B66841" w:rsidRPr="001E12AA">
        <w:rPr>
          <w:rFonts w:ascii="Lucida Sans" w:hAnsi="Lucida Sans"/>
          <w:szCs w:val="20"/>
        </w:rPr>
        <w:t>uidance about when text complexity applies and doesn’t apply to both student- and teacher-read materials</w:t>
      </w:r>
    </w:p>
    <w:p w14:paraId="70F7C222" w14:textId="5AB028D0" w:rsidR="00B66841" w:rsidRPr="001E12AA" w:rsidRDefault="00B66841" w:rsidP="00B66841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0E03DE">
        <w:rPr>
          <w:rFonts w:ascii="Lucida Sans" w:hAnsi="Lucida Sans"/>
          <w:b/>
          <w:szCs w:val="20"/>
        </w:rPr>
        <w:t>Re-categorized and reduced</w:t>
      </w:r>
      <w:r w:rsidRPr="001E12AA">
        <w:rPr>
          <w:rFonts w:ascii="Lucida Sans" w:hAnsi="Lucida Sans"/>
          <w:szCs w:val="20"/>
        </w:rPr>
        <w:t xml:space="preserve"> the number of Non-Negotiable </w:t>
      </w:r>
      <w:r w:rsidR="00A82C00">
        <w:rPr>
          <w:rFonts w:ascii="Lucida Sans" w:hAnsi="Lucida Sans"/>
          <w:szCs w:val="20"/>
        </w:rPr>
        <w:t>A</w:t>
      </w:r>
      <w:r w:rsidR="00A82C00" w:rsidRPr="001E12AA">
        <w:rPr>
          <w:rFonts w:ascii="Lucida Sans" w:hAnsi="Lucida Sans"/>
          <w:szCs w:val="20"/>
        </w:rPr>
        <w:t xml:space="preserve">lignment </w:t>
      </w:r>
      <w:r w:rsidR="00A82C00">
        <w:rPr>
          <w:rFonts w:ascii="Lucida Sans" w:hAnsi="Lucida Sans"/>
          <w:szCs w:val="20"/>
        </w:rPr>
        <w:t>C</w:t>
      </w:r>
      <w:r w:rsidR="00A82C00" w:rsidRPr="001E12AA">
        <w:rPr>
          <w:rFonts w:ascii="Lucida Sans" w:hAnsi="Lucida Sans"/>
          <w:szCs w:val="20"/>
        </w:rPr>
        <w:t xml:space="preserve">riteria </w:t>
      </w:r>
      <w:r w:rsidRPr="001E12AA">
        <w:rPr>
          <w:rFonts w:ascii="Lucida Sans" w:hAnsi="Lucida Sans"/>
          <w:szCs w:val="20"/>
        </w:rPr>
        <w:t>(from 9 to 2), Alignment Criteria, and Indicators of Quality</w:t>
      </w:r>
    </w:p>
    <w:p w14:paraId="6BDF9254" w14:textId="3B0849F3" w:rsidR="00B66841" w:rsidRPr="001E12AA" w:rsidRDefault="00B66841" w:rsidP="00B66841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0E03DE">
        <w:rPr>
          <w:rFonts w:ascii="Lucida Sans" w:hAnsi="Lucida Sans"/>
          <w:b/>
          <w:szCs w:val="20"/>
        </w:rPr>
        <w:t>Streamlined the language of the indicators</w:t>
      </w:r>
      <w:r w:rsidRPr="001E12AA">
        <w:rPr>
          <w:rFonts w:ascii="Lucida Sans" w:hAnsi="Lucida Sans"/>
          <w:szCs w:val="20"/>
        </w:rPr>
        <w:t xml:space="preserve"> to more clearly </w:t>
      </w:r>
      <w:r w:rsidR="00E64B8F">
        <w:rPr>
          <w:rFonts w:ascii="Lucida Sans" w:hAnsi="Lucida Sans"/>
          <w:szCs w:val="20"/>
        </w:rPr>
        <w:t>reflect the language of</w:t>
      </w:r>
      <w:r w:rsidRPr="001E12AA">
        <w:rPr>
          <w:rFonts w:ascii="Lucida Sans" w:hAnsi="Lucida Sans"/>
          <w:szCs w:val="20"/>
        </w:rPr>
        <w:t xml:space="preserve"> the CCSS for ELA/Literacy, the Publisher’s Criteria, and Appendix A</w:t>
      </w:r>
    </w:p>
    <w:p w14:paraId="7AFD83A4" w14:textId="2EDC671D" w:rsidR="00B66841" w:rsidRPr="000F4FE6" w:rsidRDefault="004B3512" w:rsidP="00B66841">
      <w:pPr>
        <w:rPr>
          <w:rFonts w:ascii="Lucida Sans" w:hAnsi="Lucida Sans"/>
          <w:sz w:val="22"/>
          <w:szCs w:val="22"/>
          <w:u w:val="single"/>
        </w:rPr>
      </w:pPr>
      <w:r w:rsidRPr="000F4FE6">
        <w:rPr>
          <w:rFonts w:ascii="Lucida Sans" w:hAnsi="Lucida Sans"/>
          <w:sz w:val="22"/>
          <w:szCs w:val="22"/>
          <w:u w:val="single"/>
        </w:rPr>
        <w:t xml:space="preserve">Detail on Changes to </w:t>
      </w:r>
      <w:r w:rsidR="00B66841" w:rsidRPr="000F4FE6">
        <w:rPr>
          <w:rFonts w:ascii="Lucida Sans" w:hAnsi="Lucida Sans"/>
          <w:sz w:val="22"/>
          <w:szCs w:val="22"/>
          <w:u w:val="single"/>
        </w:rPr>
        <w:t>Mathematics</w:t>
      </w:r>
      <w:r w:rsidRPr="000F4FE6">
        <w:rPr>
          <w:rFonts w:ascii="Lucida Sans" w:hAnsi="Lucida Sans"/>
          <w:sz w:val="22"/>
          <w:szCs w:val="22"/>
          <w:u w:val="single"/>
        </w:rPr>
        <w:t xml:space="preserve"> </w:t>
      </w:r>
    </w:p>
    <w:p w14:paraId="6AB036C4" w14:textId="77777777" w:rsidR="00B66841" w:rsidRPr="00F007E2" w:rsidRDefault="00B66841" w:rsidP="00B66841">
      <w:pPr>
        <w:rPr>
          <w:rFonts w:ascii="Lucida Sans" w:hAnsi="Lucida Sans"/>
          <w:szCs w:val="24"/>
        </w:rPr>
      </w:pPr>
    </w:p>
    <w:p w14:paraId="0531F7B7" w14:textId="350ED421" w:rsidR="00B66841" w:rsidRPr="001E12AA" w:rsidRDefault="00B66841" w:rsidP="00B66841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0E03DE">
        <w:rPr>
          <w:rFonts w:ascii="Lucida Sans" w:hAnsi="Lucida Sans"/>
          <w:b/>
          <w:szCs w:val="20"/>
        </w:rPr>
        <w:t>Targeted the Non-Negotiable Alignment Criteria</w:t>
      </w:r>
      <w:r w:rsidRPr="001E12AA">
        <w:rPr>
          <w:rFonts w:ascii="Lucida Sans" w:hAnsi="Lucida Sans"/>
          <w:szCs w:val="20"/>
        </w:rPr>
        <w:t xml:space="preserve"> to address critical aspects of Focus and Coherence; made this section slimmer and </w:t>
      </w:r>
      <w:r w:rsidR="00E64B8F">
        <w:rPr>
          <w:rFonts w:ascii="Lucida Sans" w:hAnsi="Lucida Sans"/>
          <w:szCs w:val="20"/>
        </w:rPr>
        <w:t>easier to understand</w:t>
      </w:r>
      <w:r w:rsidRPr="001E12AA">
        <w:rPr>
          <w:rFonts w:ascii="Lucida Sans" w:hAnsi="Lucida Sans"/>
          <w:szCs w:val="20"/>
        </w:rPr>
        <w:t xml:space="preserve"> </w:t>
      </w:r>
    </w:p>
    <w:p w14:paraId="68F8DA48" w14:textId="77777777" w:rsidR="00B66841" w:rsidRPr="001E12AA" w:rsidRDefault="00B66841" w:rsidP="00B66841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1E12AA">
        <w:rPr>
          <w:rFonts w:ascii="Lucida Sans" w:hAnsi="Lucida Sans"/>
          <w:szCs w:val="20"/>
        </w:rPr>
        <w:t>NN1 – Freedom from Obstacles to Focus: is now first in the tool, and the simplest and clearest to evaluate</w:t>
      </w:r>
    </w:p>
    <w:p w14:paraId="2DDADBD7" w14:textId="77777777" w:rsidR="00B66841" w:rsidRPr="001E12AA" w:rsidRDefault="00B66841" w:rsidP="00B66841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1E12AA">
        <w:rPr>
          <w:rFonts w:ascii="Lucida Sans" w:hAnsi="Lucida Sans"/>
          <w:szCs w:val="20"/>
        </w:rPr>
        <w:t xml:space="preserve">NN2 – Focus and Coherence: includes several metrics, now does not require computation of percentages </w:t>
      </w:r>
    </w:p>
    <w:p w14:paraId="64ED2237" w14:textId="4C85F2D5" w:rsidR="000F4FE6" w:rsidRDefault="00B66841" w:rsidP="000F4FE6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0E03DE">
        <w:rPr>
          <w:rFonts w:ascii="Lucida Sans" w:hAnsi="Lucida Sans"/>
          <w:b/>
          <w:szCs w:val="20"/>
        </w:rPr>
        <w:t>Additional Alignment Criteria focus on Rigor and Mathematical Practices</w:t>
      </w:r>
      <w:r w:rsidRPr="001E12AA">
        <w:rPr>
          <w:rFonts w:ascii="Lucida Sans" w:hAnsi="Lucida Sans"/>
          <w:szCs w:val="20"/>
        </w:rPr>
        <w:t xml:space="preserve"> with a set threshold for passing instead of a binary selection </w:t>
      </w:r>
      <w:r w:rsidR="00B34100" w:rsidRPr="001E12AA">
        <w:rPr>
          <w:rFonts w:ascii="Lucida Sans" w:hAnsi="Lucida Sans"/>
          <w:szCs w:val="20"/>
        </w:rPr>
        <w:t>(lessening the</w:t>
      </w:r>
      <w:r w:rsidRPr="001E12AA">
        <w:rPr>
          <w:rFonts w:ascii="Lucida Sans" w:hAnsi="Lucida Sans"/>
          <w:szCs w:val="20"/>
        </w:rPr>
        <w:t xml:space="preserve"> potential variability of interpretation)</w:t>
      </w:r>
      <w:bookmarkStart w:id="6" w:name="_Ref267573650"/>
      <w:bookmarkStart w:id="7" w:name="_Ref267573820"/>
    </w:p>
    <w:p w14:paraId="770E91FE" w14:textId="2390098D" w:rsidR="00A82C00" w:rsidRDefault="00A82C00" w:rsidP="000F4FE6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0E03DE">
        <w:rPr>
          <w:rFonts w:ascii="Lucida Sans" w:hAnsi="Lucida Sans"/>
          <w:b/>
          <w:szCs w:val="20"/>
        </w:rPr>
        <w:t>Re-categorized and reduced</w:t>
      </w:r>
      <w:r w:rsidRPr="001E12AA">
        <w:rPr>
          <w:rFonts w:ascii="Lucida Sans" w:hAnsi="Lucida Sans"/>
          <w:szCs w:val="20"/>
        </w:rPr>
        <w:t xml:space="preserve"> the number of Non-Negotiable </w:t>
      </w:r>
      <w:r>
        <w:rPr>
          <w:rFonts w:ascii="Lucida Sans" w:hAnsi="Lucida Sans"/>
          <w:szCs w:val="20"/>
        </w:rPr>
        <w:t>A</w:t>
      </w:r>
      <w:r w:rsidRPr="001E12AA">
        <w:rPr>
          <w:rFonts w:ascii="Lucida Sans" w:hAnsi="Lucida Sans"/>
          <w:szCs w:val="20"/>
        </w:rPr>
        <w:t xml:space="preserve">lignment </w:t>
      </w:r>
      <w:r>
        <w:rPr>
          <w:rFonts w:ascii="Lucida Sans" w:hAnsi="Lucida Sans"/>
          <w:szCs w:val="20"/>
        </w:rPr>
        <w:t>Cr</w:t>
      </w:r>
      <w:r w:rsidRPr="001E12AA">
        <w:rPr>
          <w:rFonts w:ascii="Lucida Sans" w:hAnsi="Lucida Sans"/>
          <w:szCs w:val="20"/>
        </w:rPr>
        <w:t>iteria</w:t>
      </w:r>
      <w:r>
        <w:rPr>
          <w:rFonts w:ascii="Lucida Sans" w:hAnsi="Lucida Sans"/>
          <w:szCs w:val="20"/>
        </w:rPr>
        <w:t xml:space="preserve">, </w:t>
      </w:r>
      <w:r w:rsidRPr="001E12AA">
        <w:rPr>
          <w:rFonts w:ascii="Lucida Sans" w:hAnsi="Lucida Sans"/>
          <w:szCs w:val="20"/>
        </w:rPr>
        <w:t>Alignment Criteria, and Indicators of Quality</w:t>
      </w:r>
    </w:p>
    <w:p w14:paraId="49C1BE6E" w14:textId="77777777" w:rsidR="000F4FE6" w:rsidRDefault="000F4FE6" w:rsidP="000F4FE6">
      <w:pPr>
        <w:spacing w:after="200" w:line="276" w:lineRule="auto"/>
        <w:contextualSpacing/>
        <w:rPr>
          <w:rFonts w:ascii="Lucida Sans" w:hAnsi="Lucida Sans"/>
        </w:rPr>
      </w:pPr>
    </w:p>
    <w:p w14:paraId="73723DA6" w14:textId="77777777" w:rsidR="000F4FE6" w:rsidRPr="000F4FE6" w:rsidRDefault="000F4FE6" w:rsidP="000F4FE6">
      <w:pPr>
        <w:spacing w:after="200" w:line="276" w:lineRule="auto"/>
        <w:contextualSpacing/>
        <w:rPr>
          <w:rFonts w:ascii="Lucida Sans" w:hAnsi="Lucida Sans"/>
        </w:rPr>
      </w:pPr>
    </w:p>
    <w:p w14:paraId="3D9CE7E8" w14:textId="22221A4F" w:rsidR="00B66841" w:rsidRPr="00F007E2" w:rsidRDefault="00B66841" w:rsidP="00D50D82">
      <w:pPr>
        <w:pStyle w:val="Heading1"/>
      </w:pPr>
      <w:r w:rsidRPr="000F4FE6">
        <w:rPr>
          <w:rFonts w:ascii="Lucida Sans" w:hAnsi="Lucida Sans"/>
          <w:color w:val="404040" w:themeColor="text1" w:themeTint="BF"/>
          <w:sz w:val="24"/>
          <w:szCs w:val="24"/>
        </w:rPr>
        <w:lastRenderedPageBreak/>
        <w:t>A</w:t>
      </w:r>
      <w:bookmarkEnd w:id="6"/>
      <w:r w:rsidR="000F4FE6">
        <w:rPr>
          <w:rFonts w:ascii="Lucida Sans" w:hAnsi="Lucida Sans"/>
          <w:color w:val="404040" w:themeColor="text1" w:themeTint="BF"/>
          <w:sz w:val="24"/>
          <w:szCs w:val="24"/>
        </w:rPr>
        <w:t>ssessment Evaluation Tool (AET)</w:t>
      </w:r>
      <w:bookmarkEnd w:id="7"/>
    </w:p>
    <w:p w14:paraId="69C010CB" w14:textId="77777777" w:rsidR="00B66841" w:rsidRPr="00F007E2" w:rsidRDefault="00B66841" w:rsidP="00B66841">
      <w:pPr>
        <w:rPr>
          <w:rFonts w:ascii="Lucida Sans" w:eastAsiaTheme="majorEastAsia" w:hAnsi="Lucida Sans" w:cstheme="majorBidi"/>
          <w:b/>
          <w:bCs/>
          <w:szCs w:val="24"/>
        </w:rPr>
      </w:pPr>
    </w:p>
    <w:p w14:paraId="3B58CAC9" w14:textId="586C8219" w:rsidR="00B66841" w:rsidRPr="000F4FE6" w:rsidRDefault="00103BD7" w:rsidP="00B66841">
      <w:pPr>
        <w:rPr>
          <w:rFonts w:ascii="Lucida Sans" w:hAnsi="Lucida Sans"/>
          <w:sz w:val="22"/>
          <w:szCs w:val="22"/>
          <w:u w:val="single"/>
        </w:rPr>
      </w:pPr>
      <w:r w:rsidRPr="000F4FE6">
        <w:rPr>
          <w:rFonts w:ascii="Lucida Sans" w:hAnsi="Lucida Sans"/>
          <w:sz w:val="22"/>
          <w:szCs w:val="22"/>
          <w:u w:val="single"/>
        </w:rPr>
        <w:t xml:space="preserve">Detail on Changes to </w:t>
      </w:r>
      <w:r w:rsidR="00B66841" w:rsidRPr="000F4FE6">
        <w:rPr>
          <w:rFonts w:ascii="Lucida Sans" w:hAnsi="Lucida Sans"/>
          <w:sz w:val="22"/>
          <w:szCs w:val="22"/>
          <w:u w:val="single"/>
        </w:rPr>
        <w:t>ELA/Literacy</w:t>
      </w:r>
      <w:r w:rsidRPr="000F4FE6">
        <w:rPr>
          <w:rFonts w:ascii="Lucida Sans" w:hAnsi="Lucida Sans"/>
          <w:sz w:val="22"/>
          <w:szCs w:val="22"/>
          <w:u w:val="single"/>
        </w:rPr>
        <w:t xml:space="preserve"> </w:t>
      </w:r>
    </w:p>
    <w:p w14:paraId="586861E7" w14:textId="77777777" w:rsidR="00B66841" w:rsidRPr="00F007E2" w:rsidRDefault="00B66841" w:rsidP="00B66841">
      <w:pPr>
        <w:rPr>
          <w:rFonts w:ascii="Lucida Sans" w:hAnsi="Lucida Sans"/>
          <w:szCs w:val="24"/>
        </w:rPr>
      </w:pPr>
    </w:p>
    <w:p w14:paraId="3780AF70" w14:textId="0503E8E0" w:rsidR="00B66841" w:rsidRDefault="00B66841" w:rsidP="00D50D82">
      <w:pPr>
        <w:pStyle w:val="ListParagraph"/>
        <w:numPr>
          <w:ilvl w:val="1"/>
          <w:numId w:val="28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1E12AA">
        <w:rPr>
          <w:rFonts w:ascii="Lucida Sans" w:hAnsi="Lucida Sans"/>
          <w:b/>
          <w:szCs w:val="20"/>
        </w:rPr>
        <w:t>Slimmer Non-Negotiable section</w:t>
      </w:r>
      <w:r w:rsidRPr="001E12AA">
        <w:rPr>
          <w:rFonts w:ascii="Lucida Sans" w:hAnsi="Lucida Sans"/>
          <w:szCs w:val="20"/>
        </w:rPr>
        <w:t xml:space="preserve">: </w:t>
      </w:r>
      <w:r w:rsidRPr="00D50D82">
        <w:rPr>
          <w:rFonts w:ascii="Lucida Sans" w:hAnsi="Lucida Sans"/>
          <w:szCs w:val="20"/>
        </w:rPr>
        <w:t xml:space="preserve">Two Non-Negotiable criteria apply to assessments of Reading; other domains are evaluated according to Alignment Criteria.  </w:t>
      </w:r>
    </w:p>
    <w:p w14:paraId="7C16274A" w14:textId="1C4CC004" w:rsidR="00D50D82" w:rsidRPr="00D50D82" w:rsidRDefault="00D50D82" w:rsidP="00D50D82">
      <w:pPr>
        <w:pStyle w:val="ListParagraph"/>
        <w:numPr>
          <w:ilvl w:val="1"/>
          <w:numId w:val="28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1E12AA">
        <w:rPr>
          <w:rFonts w:ascii="Lucida Sans" w:hAnsi="Lucida Sans"/>
          <w:b/>
          <w:szCs w:val="20"/>
        </w:rPr>
        <w:t>Alignment Criteria section created:</w:t>
      </w:r>
      <w:r>
        <w:rPr>
          <w:rFonts w:ascii="Lucida Sans" w:hAnsi="Lucida Sans"/>
          <w:szCs w:val="20"/>
        </w:rPr>
        <w:t xml:space="preserve"> </w:t>
      </w:r>
      <w:r>
        <w:rPr>
          <w:rFonts w:ascii="Lucida Sans" w:hAnsi="Lucida Sans"/>
        </w:rPr>
        <w:t xml:space="preserve">An </w:t>
      </w:r>
      <w:r w:rsidRPr="001E12AA">
        <w:rPr>
          <w:rFonts w:ascii="Lucida Sans" w:hAnsi="Lucida Sans"/>
        </w:rPr>
        <w:t xml:space="preserve">Alignment Criteria section </w:t>
      </w:r>
      <w:r>
        <w:rPr>
          <w:rFonts w:ascii="Lucida Sans" w:hAnsi="Lucida Sans"/>
        </w:rPr>
        <w:t xml:space="preserve">has been </w:t>
      </w:r>
      <w:r w:rsidRPr="001E12AA">
        <w:rPr>
          <w:rFonts w:ascii="Lucida Sans" w:hAnsi="Lucida Sans"/>
        </w:rPr>
        <w:t xml:space="preserve">developed to enable </w:t>
      </w:r>
      <w:r>
        <w:rPr>
          <w:rFonts w:ascii="Lucida Sans" w:hAnsi="Lucida Sans"/>
        </w:rPr>
        <w:t>evaluators</w:t>
      </w:r>
      <w:r w:rsidRPr="001E12AA">
        <w:rPr>
          <w:rFonts w:ascii="Lucida Sans" w:hAnsi="Lucida Sans"/>
        </w:rPr>
        <w:t xml:space="preserve"> to determine the strengths and weaknesses of a program’s alignment grade-by-grade, rather than simply determining whether or not the program is aligned. A point system allows evaluators to determine the degree of alignment and signal where improvements should be made.</w:t>
      </w:r>
    </w:p>
    <w:p w14:paraId="5ED73154" w14:textId="0C55AA2A" w:rsidR="00B66841" w:rsidRPr="001E12AA" w:rsidRDefault="00B66841" w:rsidP="00D50D82">
      <w:pPr>
        <w:pStyle w:val="ListParagraph"/>
        <w:numPr>
          <w:ilvl w:val="1"/>
          <w:numId w:val="28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1E12AA">
        <w:rPr>
          <w:rFonts w:ascii="Lucida Sans" w:hAnsi="Lucida Sans"/>
          <w:b/>
          <w:szCs w:val="20"/>
        </w:rPr>
        <w:t>Evaluators use Alignment Criteria sections that pertain to the ELA/</w:t>
      </w:r>
      <w:r w:rsidR="006268B3">
        <w:rPr>
          <w:rFonts w:ascii="Lucida Sans" w:hAnsi="Lucida Sans"/>
          <w:b/>
          <w:szCs w:val="20"/>
        </w:rPr>
        <w:t>literacy</w:t>
      </w:r>
      <w:r w:rsidRPr="001E12AA">
        <w:rPr>
          <w:rFonts w:ascii="Lucida Sans" w:hAnsi="Lucida Sans"/>
          <w:b/>
          <w:szCs w:val="20"/>
        </w:rPr>
        <w:t xml:space="preserve"> domain(s) being assessed: </w:t>
      </w:r>
      <w:r w:rsidRPr="001E12AA">
        <w:rPr>
          <w:rFonts w:ascii="Lucida Sans" w:hAnsi="Lucida Sans"/>
          <w:szCs w:val="20"/>
        </w:rPr>
        <w:t xml:space="preserve">Alignment Criteria are separated into sections so that alignment to the domains Reading, Writing, Language, and Speaking and Listening can be evaluated as applicable. </w:t>
      </w:r>
    </w:p>
    <w:p w14:paraId="008C54F6" w14:textId="6C0D16BF" w:rsidR="00B66841" w:rsidRPr="001E12AA" w:rsidRDefault="00B66841" w:rsidP="00D50D82">
      <w:pPr>
        <w:pStyle w:val="ListParagraph"/>
        <w:numPr>
          <w:ilvl w:val="1"/>
          <w:numId w:val="28"/>
        </w:numPr>
        <w:spacing w:after="200" w:line="276" w:lineRule="auto"/>
        <w:contextualSpacing/>
        <w:rPr>
          <w:rFonts w:ascii="Lucida Sans" w:hAnsi="Lucida Sans"/>
          <w:szCs w:val="20"/>
        </w:rPr>
      </w:pPr>
      <w:r w:rsidRPr="001E12AA">
        <w:rPr>
          <w:rFonts w:ascii="Lucida Sans" w:hAnsi="Lucida Sans"/>
          <w:b/>
          <w:szCs w:val="20"/>
        </w:rPr>
        <w:t>Separated Indicators of Quality into section following the alignment evaluation:</w:t>
      </w:r>
      <w:r w:rsidRPr="001E12AA">
        <w:rPr>
          <w:rFonts w:ascii="Lucida Sans" w:hAnsi="Lucida Sans"/>
          <w:szCs w:val="20"/>
        </w:rPr>
        <w:t xml:space="preserve"> Indicators of Quality included in a separate section to provide additional guidance for evaluators to further distinguish among aligned materials, based on assessment best practices and local priorities.</w:t>
      </w:r>
    </w:p>
    <w:p w14:paraId="22A414FF" w14:textId="77777777" w:rsidR="00B66841" w:rsidRPr="00F007E2" w:rsidRDefault="00B66841" w:rsidP="00B66841">
      <w:pPr>
        <w:rPr>
          <w:rFonts w:ascii="Lucida Sans" w:hAnsi="Lucida Sans"/>
          <w:szCs w:val="24"/>
          <w:u w:val="single"/>
        </w:rPr>
      </w:pPr>
    </w:p>
    <w:p w14:paraId="0BC633E3" w14:textId="4D258183" w:rsidR="00B66841" w:rsidRPr="000F4FE6" w:rsidRDefault="00103BD7" w:rsidP="00B66841">
      <w:pPr>
        <w:rPr>
          <w:rFonts w:ascii="Lucida Sans" w:hAnsi="Lucida Sans"/>
          <w:sz w:val="22"/>
          <w:szCs w:val="22"/>
          <w:u w:val="single"/>
        </w:rPr>
      </w:pPr>
      <w:r w:rsidRPr="000F4FE6">
        <w:rPr>
          <w:rFonts w:ascii="Lucida Sans" w:hAnsi="Lucida Sans"/>
          <w:sz w:val="22"/>
          <w:szCs w:val="22"/>
          <w:u w:val="single"/>
        </w:rPr>
        <w:t xml:space="preserve">Detail on Changes to </w:t>
      </w:r>
      <w:r w:rsidR="00B66841" w:rsidRPr="000F4FE6">
        <w:rPr>
          <w:rFonts w:ascii="Lucida Sans" w:hAnsi="Lucida Sans"/>
          <w:sz w:val="22"/>
          <w:szCs w:val="22"/>
          <w:u w:val="single"/>
        </w:rPr>
        <w:t>Mathematics</w:t>
      </w:r>
      <w:r w:rsidRPr="000F4FE6">
        <w:rPr>
          <w:rFonts w:ascii="Lucida Sans" w:hAnsi="Lucida Sans"/>
          <w:sz w:val="22"/>
          <w:szCs w:val="22"/>
          <w:u w:val="single"/>
        </w:rPr>
        <w:t xml:space="preserve"> AET</w:t>
      </w:r>
    </w:p>
    <w:p w14:paraId="4DC141C0" w14:textId="77777777" w:rsidR="00B66841" w:rsidRPr="00F007E2" w:rsidRDefault="00B66841" w:rsidP="00B66841">
      <w:pPr>
        <w:rPr>
          <w:rFonts w:ascii="Lucida Sans" w:hAnsi="Lucida Sans"/>
          <w:szCs w:val="24"/>
        </w:rPr>
      </w:pPr>
    </w:p>
    <w:p w14:paraId="0885211D" w14:textId="6DB8E6D7" w:rsidR="000E6C0C" w:rsidRPr="001E12AA" w:rsidRDefault="00B66841" w:rsidP="000E6C0C">
      <w:pPr>
        <w:pStyle w:val="ListParagraph"/>
        <w:numPr>
          <w:ilvl w:val="0"/>
          <w:numId w:val="23"/>
        </w:numPr>
        <w:spacing w:after="200" w:line="276" w:lineRule="auto"/>
        <w:ind w:left="720"/>
        <w:contextualSpacing/>
        <w:rPr>
          <w:rFonts w:ascii="Lucida Sans" w:hAnsi="Lucida Sans"/>
          <w:szCs w:val="20"/>
        </w:rPr>
      </w:pPr>
      <w:r w:rsidRPr="001E12AA">
        <w:rPr>
          <w:rFonts w:ascii="Lucida Sans" w:hAnsi="Lucida Sans"/>
          <w:b/>
          <w:szCs w:val="20"/>
        </w:rPr>
        <w:t>Slimmer Non-Negotiable section:</w:t>
      </w:r>
      <w:r w:rsidRPr="001E12AA">
        <w:rPr>
          <w:rFonts w:ascii="Lucida Sans" w:hAnsi="Lucida Sans"/>
          <w:szCs w:val="20"/>
        </w:rPr>
        <w:t xml:space="preserve"> Targeted the Non-Negotiable criteria to address critical aspects of Focus and Coherence; made this section slimmer and </w:t>
      </w:r>
      <w:r w:rsidR="00CF3CD6">
        <w:rPr>
          <w:rFonts w:ascii="Lucida Sans" w:hAnsi="Lucida Sans"/>
          <w:szCs w:val="20"/>
        </w:rPr>
        <w:t>easier to understand</w:t>
      </w:r>
      <w:r w:rsidRPr="001E12AA">
        <w:rPr>
          <w:rFonts w:ascii="Lucida Sans" w:hAnsi="Lucida Sans"/>
          <w:szCs w:val="20"/>
        </w:rPr>
        <w:t>.</w:t>
      </w:r>
    </w:p>
    <w:p w14:paraId="602667F5" w14:textId="76540902" w:rsidR="00B66841" w:rsidRPr="001E12AA" w:rsidRDefault="00B66841" w:rsidP="000E6C0C">
      <w:pPr>
        <w:pStyle w:val="ListParagraph"/>
        <w:numPr>
          <w:ilvl w:val="0"/>
          <w:numId w:val="23"/>
        </w:numPr>
        <w:spacing w:after="200" w:line="276" w:lineRule="auto"/>
        <w:ind w:left="720"/>
        <w:contextualSpacing/>
        <w:rPr>
          <w:rFonts w:ascii="Lucida Sans" w:hAnsi="Lucida Sans"/>
          <w:szCs w:val="20"/>
        </w:rPr>
      </w:pPr>
      <w:r w:rsidRPr="001E12AA">
        <w:rPr>
          <w:rFonts w:ascii="Lucida Sans" w:hAnsi="Lucida Sans"/>
          <w:b/>
          <w:szCs w:val="20"/>
        </w:rPr>
        <w:t>Alignment Criteria section created:</w:t>
      </w:r>
      <w:r w:rsidRPr="001E12AA">
        <w:rPr>
          <w:rFonts w:ascii="Lucida Sans" w:hAnsi="Lucida Sans"/>
          <w:szCs w:val="20"/>
        </w:rPr>
        <w:t xml:space="preserve">  Alignment Criteria enable reviewers to determine the strengths and weaknesses of a program’s alignment grade by grade and set a threshold for alignment.  These criteria ensure that assessments have rigor and balance, emphasize the progressions, connect the mathematical practice with the content standards, and support focus. </w:t>
      </w:r>
    </w:p>
    <w:bookmarkEnd w:id="0"/>
    <w:p w14:paraId="69F25DF2" w14:textId="233EB8EC" w:rsidR="00632722" w:rsidRPr="001E12AA" w:rsidRDefault="00632722" w:rsidP="003816B6">
      <w:pPr>
        <w:pStyle w:val="ListParagraph"/>
        <w:spacing w:after="60" w:afterAutospacing="1" w:line="296" w:lineRule="atLeast"/>
        <w:contextualSpacing/>
        <w:rPr>
          <w:rFonts w:ascii="Lucida Sans" w:hAnsi="Lucida Sans" w:cs="Arial"/>
          <w:szCs w:val="20"/>
        </w:rPr>
      </w:pPr>
    </w:p>
    <w:sectPr w:rsidR="00632722" w:rsidRPr="001E12AA" w:rsidSect="00140017">
      <w:head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52CBE" w14:textId="77777777" w:rsidR="006268B3" w:rsidRDefault="006268B3" w:rsidP="00140017">
      <w:r>
        <w:separator/>
      </w:r>
    </w:p>
  </w:endnote>
  <w:endnote w:type="continuationSeparator" w:id="0">
    <w:p w14:paraId="106B04B9" w14:textId="77777777" w:rsidR="006268B3" w:rsidRDefault="006268B3" w:rsidP="0014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CD832" w14:textId="77777777" w:rsidR="006268B3" w:rsidRDefault="006268B3" w:rsidP="00140017">
      <w:r>
        <w:separator/>
      </w:r>
    </w:p>
  </w:footnote>
  <w:footnote w:type="continuationSeparator" w:id="0">
    <w:p w14:paraId="59BFE237" w14:textId="77777777" w:rsidR="006268B3" w:rsidRDefault="006268B3" w:rsidP="001400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AF4FE" w14:textId="77777777" w:rsidR="006268B3" w:rsidRDefault="006268B3">
    <w:pPr>
      <w:pStyle w:val="Header"/>
    </w:pPr>
  </w:p>
  <w:p w14:paraId="01C5A652" w14:textId="77777777" w:rsidR="006268B3" w:rsidRDefault="006268B3">
    <w:pPr>
      <w:pStyle w:val="Header"/>
    </w:pPr>
    <w:r>
      <w:rPr>
        <w:noProof/>
      </w:rPr>
      <w:drawing>
        <wp:inline distT="0" distB="0" distL="0" distR="0" wp14:anchorId="759BE7ED" wp14:editId="791D6A94">
          <wp:extent cx="1625600" cy="800100"/>
          <wp:effectExtent l="0" t="0" r="0" b="12700"/>
          <wp:docPr id="89" name="Picture 1" descr="Description: Macintosh HD:Users:kareningram:Dropbox:SA4 Visual System and Guidelines:03. Design:Logo:Latest:SAP_revised:Downloadables:SAP:pdf:SAP_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kareningram:Dropbox:SA4 Visual System and Guidelines:03. Design:Logo:Latest:SAP_revised:Downloadables:SAP:pdf:SAP_logo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A3670" w14:textId="77777777" w:rsidR="006268B3" w:rsidRDefault="006268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3F"/>
    <w:multiLevelType w:val="hybridMultilevel"/>
    <w:tmpl w:val="DC52EA16"/>
    <w:lvl w:ilvl="0" w:tplc="A9EC6A1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E19"/>
    <w:multiLevelType w:val="hybridMultilevel"/>
    <w:tmpl w:val="658E7CFE"/>
    <w:lvl w:ilvl="0" w:tplc="FA7870E0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62A0"/>
    <w:multiLevelType w:val="hybridMultilevel"/>
    <w:tmpl w:val="8230E724"/>
    <w:lvl w:ilvl="0" w:tplc="D1CAA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0772"/>
    <w:multiLevelType w:val="hybridMultilevel"/>
    <w:tmpl w:val="A958106E"/>
    <w:lvl w:ilvl="0" w:tplc="A9EC6A1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17534"/>
    <w:multiLevelType w:val="hybridMultilevel"/>
    <w:tmpl w:val="6090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22EB"/>
    <w:multiLevelType w:val="hybridMultilevel"/>
    <w:tmpl w:val="7FE889FA"/>
    <w:lvl w:ilvl="0" w:tplc="FA7870E0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2481A"/>
    <w:multiLevelType w:val="hybridMultilevel"/>
    <w:tmpl w:val="41D4CF06"/>
    <w:lvl w:ilvl="0" w:tplc="9B1E6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440B4"/>
    <w:multiLevelType w:val="hybridMultilevel"/>
    <w:tmpl w:val="D1346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D1BBB"/>
    <w:multiLevelType w:val="hybridMultilevel"/>
    <w:tmpl w:val="026E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566F"/>
    <w:multiLevelType w:val="hybridMultilevel"/>
    <w:tmpl w:val="D1346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C70A9"/>
    <w:multiLevelType w:val="hybridMultilevel"/>
    <w:tmpl w:val="D200039C"/>
    <w:lvl w:ilvl="0" w:tplc="E4B8E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E430E"/>
    <w:multiLevelType w:val="hybridMultilevel"/>
    <w:tmpl w:val="44FCFA4A"/>
    <w:lvl w:ilvl="0" w:tplc="A9EC6A1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0449B"/>
    <w:multiLevelType w:val="hybridMultilevel"/>
    <w:tmpl w:val="43E637E2"/>
    <w:lvl w:ilvl="0" w:tplc="A9EC6A1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369A5"/>
    <w:multiLevelType w:val="hybridMultilevel"/>
    <w:tmpl w:val="584A9CBE"/>
    <w:lvl w:ilvl="0" w:tplc="91B6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D7684"/>
    <w:multiLevelType w:val="hybridMultilevel"/>
    <w:tmpl w:val="83BAEE80"/>
    <w:lvl w:ilvl="0" w:tplc="29A04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675EE"/>
    <w:multiLevelType w:val="hybridMultilevel"/>
    <w:tmpl w:val="50B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B3982"/>
    <w:multiLevelType w:val="hybridMultilevel"/>
    <w:tmpl w:val="CFB04642"/>
    <w:lvl w:ilvl="0" w:tplc="A9EC6A1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8764D"/>
    <w:multiLevelType w:val="hybridMultilevel"/>
    <w:tmpl w:val="939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1449A"/>
    <w:multiLevelType w:val="hybridMultilevel"/>
    <w:tmpl w:val="251A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A7393"/>
    <w:multiLevelType w:val="hybridMultilevel"/>
    <w:tmpl w:val="55EE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F0F5F"/>
    <w:multiLevelType w:val="hybridMultilevel"/>
    <w:tmpl w:val="A10CC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6B782C"/>
    <w:multiLevelType w:val="hybridMultilevel"/>
    <w:tmpl w:val="206C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3118A"/>
    <w:multiLevelType w:val="hybridMultilevel"/>
    <w:tmpl w:val="1ECCCB00"/>
    <w:lvl w:ilvl="0" w:tplc="FA7870E0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13D8B"/>
    <w:multiLevelType w:val="hybridMultilevel"/>
    <w:tmpl w:val="B69E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12BB6"/>
    <w:multiLevelType w:val="hybridMultilevel"/>
    <w:tmpl w:val="0C489A78"/>
    <w:lvl w:ilvl="0" w:tplc="A9EC6A1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F42A3"/>
    <w:multiLevelType w:val="hybridMultilevel"/>
    <w:tmpl w:val="5C40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36C5B"/>
    <w:multiLevelType w:val="hybridMultilevel"/>
    <w:tmpl w:val="50B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4483B"/>
    <w:multiLevelType w:val="hybridMultilevel"/>
    <w:tmpl w:val="8C7879F4"/>
    <w:lvl w:ilvl="0" w:tplc="EA4C1E02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14"/>
  </w:num>
  <w:num w:numId="8">
    <w:abstractNumId w:val="21"/>
  </w:num>
  <w:num w:numId="9">
    <w:abstractNumId w:val="13"/>
  </w:num>
  <w:num w:numId="10">
    <w:abstractNumId w:val="25"/>
  </w:num>
  <w:num w:numId="11">
    <w:abstractNumId w:val="10"/>
  </w:num>
  <w:num w:numId="12">
    <w:abstractNumId w:val="6"/>
  </w:num>
  <w:num w:numId="13">
    <w:abstractNumId w:val="19"/>
  </w:num>
  <w:num w:numId="14">
    <w:abstractNumId w:val="0"/>
  </w:num>
  <w:num w:numId="15">
    <w:abstractNumId w:val="11"/>
  </w:num>
  <w:num w:numId="16">
    <w:abstractNumId w:val="7"/>
  </w:num>
  <w:num w:numId="17">
    <w:abstractNumId w:val="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3"/>
  </w:num>
  <w:num w:numId="21">
    <w:abstractNumId w:val="9"/>
  </w:num>
  <w:num w:numId="22">
    <w:abstractNumId w:val="16"/>
  </w:num>
  <w:num w:numId="23">
    <w:abstractNumId w:val="20"/>
  </w:num>
  <w:num w:numId="24">
    <w:abstractNumId w:val="12"/>
  </w:num>
  <w:num w:numId="25">
    <w:abstractNumId w:val="3"/>
  </w:num>
  <w:num w:numId="26">
    <w:abstractNumId w:val="24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17"/>
    <w:rsid w:val="000508EE"/>
    <w:rsid w:val="000769BB"/>
    <w:rsid w:val="000E03DE"/>
    <w:rsid w:val="000E6C0C"/>
    <w:rsid w:val="000E74FF"/>
    <w:rsid w:val="000F4FE6"/>
    <w:rsid w:val="00103BD7"/>
    <w:rsid w:val="00132A9D"/>
    <w:rsid w:val="00140017"/>
    <w:rsid w:val="00170559"/>
    <w:rsid w:val="0017799A"/>
    <w:rsid w:val="001E12AA"/>
    <w:rsid w:val="0020797E"/>
    <w:rsid w:val="00256B21"/>
    <w:rsid w:val="00297057"/>
    <w:rsid w:val="002E2D06"/>
    <w:rsid w:val="002F7BF4"/>
    <w:rsid w:val="00333F62"/>
    <w:rsid w:val="00353472"/>
    <w:rsid w:val="003816B6"/>
    <w:rsid w:val="003C2568"/>
    <w:rsid w:val="003F6D7D"/>
    <w:rsid w:val="00441915"/>
    <w:rsid w:val="0044223C"/>
    <w:rsid w:val="00464A49"/>
    <w:rsid w:val="004B2473"/>
    <w:rsid w:val="004B3512"/>
    <w:rsid w:val="004C6E54"/>
    <w:rsid w:val="005000BC"/>
    <w:rsid w:val="005444BD"/>
    <w:rsid w:val="00553538"/>
    <w:rsid w:val="00565251"/>
    <w:rsid w:val="00586A3C"/>
    <w:rsid w:val="005A17A3"/>
    <w:rsid w:val="006268B3"/>
    <w:rsid w:val="00632722"/>
    <w:rsid w:val="006350D3"/>
    <w:rsid w:val="00661F44"/>
    <w:rsid w:val="006852FE"/>
    <w:rsid w:val="00720E83"/>
    <w:rsid w:val="00747FDC"/>
    <w:rsid w:val="007562E6"/>
    <w:rsid w:val="00790FDA"/>
    <w:rsid w:val="007B252B"/>
    <w:rsid w:val="007E6E09"/>
    <w:rsid w:val="00847133"/>
    <w:rsid w:val="00851DF4"/>
    <w:rsid w:val="008E5B56"/>
    <w:rsid w:val="009847E6"/>
    <w:rsid w:val="009D0BF5"/>
    <w:rsid w:val="00A2218B"/>
    <w:rsid w:val="00A2421D"/>
    <w:rsid w:val="00A634CA"/>
    <w:rsid w:val="00A82C00"/>
    <w:rsid w:val="00A87213"/>
    <w:rsid w:val="00B062E4"/>
    <w:rsid w:val="00B34100"/>
    <w:rsid w:val="00B34303"/>
    <w:rsid w:val="00B66841"/>
    <w:rsid w:val="00B9659F"/>
    <w:rsid w:val="00BC5C91"/>
    <w:rsid w:val="00BF229B"/>
    <w:rsid w:val="00C10EF8"/>
    <w:rsid w:val="00C26112"/>
    <w:rsid w:val="00C437D6"/>
    <w:rsid w:val="00C639C9"/>
    <w:rsid w:val="00C716B7"/>
    <w:rsid w:val="00CD01D4"/>
    <w:rsid w:val="00CF3CD6"/>
    <w:rsid w:val="00D27DFA"/>
    <w:rsid w:val="00D50D82"/>
    <w:rsid w:val="00E64B8F"/>
    <w:rsid w:val="00E664C1"/>
    <w:rsid w:val="00E73337"/>
    <w:rsid w:val="00E75E8D"/>
    <w:rsid w:val="00F007E2"/>
    <w:rsid w:val="00F0266A"/>
    <w:rsid w:val="00F06CC9"/>
    <w:rsid w:val="00F10E42"/>
    <w:rsid w:val="00F27EBF"/>
    <w:rsid w:val="00F46312"/>
    <w:rsid w:val="00F5098E"/>
    <w:rsid w:val="00F60BFA"/>
    <w:rsid w:val="00FB5128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3BB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17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1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4001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01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4001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1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1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634C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34CA"/>
    <w:pPr>
      <w:ind w:left="720"/>
    </w:pPr>
    <w:rPr>
      <w:rFonts w:ascii="Calibri" w:eastAsiaTheme="minorEastAsia" w:hAnsi="Calibri"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634CA"/>
    <w:rPr>
      <w:rFonts w:ascii="Calibri" w:hAnsi="Calibri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34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769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6B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84713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3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DB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B4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17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1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4001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01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4001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1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1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634C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34CA"/>
    <w:pPr>
      <w:ind w:left="720"/>
    </w:pPr>
    <w:rPr>
      <w:rFonts w:ascii="Calibri" w:eastAsiaTheme="minorEastAsia" w:hAnsi="Calibri"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634CA"/>
    <w:rPr>
      <w:rFonts w:ascii="Calibri" w:hAnsi="Calibri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34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769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6B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84713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3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DB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B4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665</Words>
  <Characters>3793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SAP</cp:lastModifiedBy>
  <cp:revision>7</cp:revision>
  <dcterms:created xsi:type="dcterms:W3CDTF">2014-08-07T18:20:00Z</dcterms:created>
  <dcterms:modified xsi:type="dcterms:W3CDTF">2014-08-07T22:31:00Z</dcterms:modified>
</cp:coreProperties>
</file>